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462 vom 8. September 1992</w:t>
      </w:r>
    </w:p>
    <w:p>
      <w:r>
        <w:t>Bundesgericht (BGE), 1992-09-08, FR</w:t>
      </w:r>
    </w:p>
    <w:p>
      <w:r>
        <w:rPr>
          <w:b/>
        </w:rPr>
        <w:t xml:space="preserve">Quelle: </w:t>
      </w:r>
      <w:r>
        <w:t>https://mcp.opencaselaw.ch/entscheid/bge_118 IB 462</w:t>
      </w:r>
    </w:p>
    <w:p>
      <w:r>
        <w:t>FR: BGE 118 IB 462 du 8 septembre 1992</w:t>
      </w:r>
    </w:p>
    <w:p>
      <w:r>
        <w:t>IT: BGE 118 IB 462 del 8 settembre 1992</w:t>
      </w:r>
    </w:p>
    <w:p>
      <w:pPr>
        <w:pStyle w:val="Heading2"/>
      </w:pPr>
      <w:r>
        <w:t>Regeste</w:t>
      </w:r>
    </w:p>
    <w:p>
      <w:r>
        <w:t>Regeste Auslieferung; Spezialitätsgrundsatz; Schonfrist; Begriff der "endgültigen Freilassung"; Art. V des Auslieferungsvertrages zwischen der Schweiz und Brasilien. 1. Der Ausgelieferte, welcher das schweizerische Hoheitsgebiet innert dreissig Tagen seit seiner definitiven Freilassung nicht verlassen hat (Schonfrist), kann sich nicht mehr auf den Spezialitätsgrundsatz berufen. Es handelt sich nicht um eine definitive Freilassung, wenn der inhaftierte Ausgelieferte nach seiner Übergabe an die schweizerischen Behörden nur unter Einschränkung seiner Bewegungsfreiheit freigelassen wird (E. 2a). 2. Im vorliegenden Fall wurde der Ausgelieferte, der in Untersuchungshaft versetzt worden war, vorläufig freigelassen mit der Verpflichtung, dem Untersuchungsrichter jede Adressänderung und jeden Aufenthalt ausserhalb des Kantons mitzuteilen; er hatte daher nicht die Möglichkeit, das Land zu verlassen. Die Frist gemäss Art. V des Auslieferungsvertrages zwischen der Schweiz und Brasilien hat somit im Zeitpunkt seiner vorläufigen Freilassung nicht zu laufen begonnen (E. 2b).</w:t>
      </w:r>
    </w:p>
    <w:p>
      <w:pPr>
        <w:pStyle w:val="Heading2"/>
      </w:pPr>
      <w:r>
        <w:t>Erwägungen</w:t>
      </w:r>
    </w:p>
    <w:p>
      <w:r>
        <w:rPr>
          <w:b/>
        </w:rPr>
        <w:t>E. 2</w:t>
      </w:r>
    </w:p>
    <w:p>
      <w:r>
        <w:t>Le recourant ne conteste pas que les conditions de sa réintégration dans l'établissement au sens de l' art. 38 ch. 4 CP soient réunies. Il soutient que, même dans ce cas, la mise à exécution du solde de la peine pour lequel la libération conditionnelle lui avait été accordée violerait le principe de la spécialité consacré à l'art. V du traité. a) Cette norme du droit international protège l'extradé contre toute poursuite ou sanction qui pourrait être respectivement dirigée ou prononcée contre lui du chef d'autres infractions - commises antérieurement à l'extradition - que celles pour lesquelles il a été remis aux autorités de l'Etat requérant. Cette règle s'applique d'office sans que l'Etat requis ait à en revendiquer le bénéfice ou exiger des assurances quelconques quant à son respect. Ce n'est qu'avec le consentement de l'Etat requis, obtenu sur la base d'une demande d'extension de l'extradition, qu'il peut y être dérogé (HANS SCHULTZ, Das schweizerische Auslieferungsrecht, Bâle, 1953, p. 367, 377; PIERRE SCHMID/LIONEL FREI/ RUDOLF WYSS/JEAN-DOMINIQUE SCHOUWEY, L'entraide judiciaire internationale en matière pénale, RDS 100/1981 II p. 305). Ce consentement n'est toutefois pas nécessaire si l'extradé demeure sur le territoire de l'Etat requérant durant un certain laps de temps - en l'occurrence, trente jours - après son acquittement ou l'exécution de sa peine (HANS SCHULTZ, op.cit., p. 381 ss, DOMINIQUE PONCET/PAUL GULLY-HART, Le principe de la spécialité en matière d'extradition, Revue internationale de droit pénal, 62/1991, p. 199 ss, 215-216). On peut en effet présumer que celui qui accepte, sans contrainte aucune, de demeurer à la disposition des autorités de répression sur le territoire d'un Etat où il risque d'être poursuivi, accepte aussi les conséquences BGE 118 Ib 462 S. 466 de ce comportement et se soumet ainsi à la juridiction territoriale de cet Etat. Même si le traité ne le dit pas expressément, cette exception à la règle de la spécialité présuppose d'une part l'élargissement définitif et d'autre part la possibilité effective de quitter le pays (HANS SCHULTZ, op.cit., p. 382, note 129). L'élargissement définitif peut résulter de l'abandon des poursuites engagées contre la personne extradée, de l'acquittement prononcé par le tribunal de jugement, ou de l'exécution de la peine infligée à la suite d'un verdict de culpabilité. Il n'y a pas élargissement définitif, au sens du droit extraditionnel, lorsque la libération est subordonnée à un délai d'épreuve, accordée à titre provisoire dans l'attente du renvoi devant l'autorité de jugement ou assortie de restrictions à la liberté de mouvement de l'extradé. Celui-ci doit en outre être avisé que l'effet protecteur attaché au principe de la spécialité cessera à l'expiration du délai de répit prévu par le traité, et que - s'il demeure sur le territoire de l'Etat requérant - il risque, le cas échéant, d'y être poursuivi pour d'autres faits que ceux pour lesquels l'extradition avait été accordée (HANS SCHULTZ, op.cit., p. 382-383). Cette conception s'exprime aussi dans la déclaration faite par la Suisse à l'art. 14 al. 1 let. b de la Convention européenne d'extradition (CEExtr.; RS 0.353.1), ratifiée par la Suisse le 20 décembre 1966, dans les termes suivants: "Le Conseil fédéral suisse déclare que les autorités suisses considèrent l'élargissement comme définitif au sens de l'art. 14 de la convention, s'il permet à la personne extradée de circuler librement sans violer les règles de conduite et autres conditions imposées par l'autorité compétente. De l'avis des autorités suisses, l'extradé est toujours censé avoir la possibilité de quitter le territoire d'un Etat au sens de cette disposition lorsque ni une maladie ni quelque autre restriction réelle de sa liberté de mouvement ne l'empêche en fait de s'en aller." Quant à l' art. 38 al. 2 EIMP , il prévoit aussi que la personne extradée doit avoir été "instruite des conséquences" de l'expiration du délai de répit. La jurisprudence va dans le même sens (cf., en ce qui concerne l' art. 14 CEExtr ., ATF 109 Ib 335 /336 consid. 15b et l'arrêt non publié du 10 juillet 1985, B., relatif au délai de répit prévu à l'art. IX du traité d'extradition conclu entre la Suisse et la Serbie le 28 novembre 1887, RS 0.353.981.8). b) L'extradition du recourant n'a été accordée à la Suisse en vertu de l'arrêt rendu le 17 août 1990 par le Tribunal fédéral suprême de la République fédérative du Brésil que pour onze des seize chefs BGE 118 Ib 462 S. 467 d'accusation exposés dans le mandat d'arrêt international décerné par le Juge d'instruction pénale du Bas-Valais. Il est constant que cette mesure de contrainte n'avait pas pour objet l'exécution du solde de la peine, pour laquelle le Service pénitentiaire du canton de Vaud a ordonné la réintégration dans l'établissement conformément à l' art. 38 ch. 4 CP , et qu'aucune demande d'extension de l'extradition n'a été formulée de ce chef auprès des autorités brésiliennes. Le recourant ne pouvait donc faire l'objet de cette mesure privative de liberté avant l'échéance du délai de répit fixé par l'art. V al. 2 du traité. L'autorité intimée ne le conteste pas mais soutient que le recourant avait la possibilité de quitter la Suisse après avoir été mis en liberté provisoire par le Juge d'instruction du Bas-Valais, et que, pour ne l'avoir pas fait, le recourant ne pourrait plus se prévaloir de la règle de la spécialité. Cette opinion ne saurait être partagée. Considérant que sa détention n'était plus nécessaire pour les besoins de l'instruction de la cause ayant donné lieu à son extradition, le Juge d'instruction pénale du Bas-Valais a mis le recourant en liberté provisoire le 29 mars 1991. L'enquête étant toujours en cours, ce magistrat a imposé au recourant l'obligation de lui communiquer tout changement d'adresse et tout séjour hors du canton. Cette restriction témoigne du souci du Juge d'instruction de contrôler les déplacements du recourant afin d'éviter qu'il ne se soustraie à l'action de la justice. Ces limitations impliquaient une interdiction de principe de quitter le territoire de la Confédération. Jusqu'à sa réintégration ordonnée par l'autorité intimée, le recourant était, partant, assujetti à une obligation de droit public dont l'exécution lui ôtait la possibilité effective de quitter le pays. Il ne disposait au demeurant pas d'un passeport valable, celui qui lui avait été délivré par le Consulat général de Suisse à Rio de Janeiro le 4 septembre 1990 ayant perdu sa validité dès la fin de son voyage de retour en Suisse. Il n'avait donc pas été libéré définitivement au sens du droit conventionnel, de sorte que l'expiration d'un délai de répit qui n'avait même pas encore commencé à courir ne lui était manifestement pas opposable. Le solde de la peine pour lequel il avait été libéré conditionnellement le 1er juillet 1983 ne pouvait par conséquent être mis à exécution sans violer l'art. V al.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